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87E2" w14:textId="3457BD85" w:rsidR="000216F6" w:rsidRPr="00A1729D" w:rsidRDefault="000216F6" w:rsidP="000216F6">
      <w:pPr>
        <w:pStyle w:val="Heading1"/>
        <w:bidi/>
        <w:rPr>
          <w:rFonts w:ascii="Aptos" w:hAnsi="Aptos"/>
          <w:noProof/>
          <w:color w:val="000000" w:themeColor="text1"/>
          <w:sz w:val="44"/>
          <w:szCs w:val="44"/>
        </w:rPr>
      </w:pPr>
      <w:r w:rsidRPr="00A1729D">
        <w:rPr>
          <w:rFonts w:ascii="Arial" w:eastAsia="Arial" w:hAnsi="Arial" w:cs="Arial"/>
          <w:b/>
          <w:bCs/>
          <w:noProof/>
          <w:color w:val="000000" w:themeColor="text1"/>
        </w:rPr>
        <w:t>الشروط</w:t>
      </w:r>
      <w:r w:rsidRPr="00A1729D">
        <w:rPr>
          <w:rFonts w:ascii="Aptos" w:eastAsia="Arial" w:hAnsi="Aptos" w:cs="Arial"/>
          <w:b/>
          <w:bCs/>
          <w:noProof/>
          <w:color w:val="000000" w:themeColor="text1"/>
        </w:rPr>
        <w:t xml:space="preserve"> </w:t>
      </w:r>
      <w:r w:rsidRPr="00A1729D">
        <w:rPr>
          <w:rFonts w:ascii="Arial" w:eastAsia="Arial" w:hAnsi="Arial" w:cs="Arial"/>
          <w:b/>
          <w:bCs/>
          <w:noProof/>
          <w:color w:val="000000" w:themeColor="text1"/>
        </w:rPr>
        <w:t>والأحكام</w:t>
      </w:r>
      <w:r w:rsidRPr="00A1729D">
        <w:rPr>
          <w:rFonts w:ascii="Aptos" w:eastAsia="Arial" w:hAnsi="Aptos" w:cs="Arial"/>
          <w:b/>
          <w:bCs/>
          <w:noProof/>
          <w:color w:val="000000" w:themeColor="text1"/>
        </w:rPr>
        <w:t xml:space="preserve"> – </w:t>
      </w:r>
      <w:r w:rsidRPr="00A1729D">
        <w:rPr>
          <w:rFonts w:ascii="Arial" w:eastAsia="Arial" w:hAnsi="Arial" w:cs="Arial"/>
          <w:b/>
          <w:bCs/>
          <w:noProof/>
          <w:color w:val="000000" w:themeColor="text1"/>
        </w:rPr>
        <w:t>نظام</w:t>
      </w:r>
      <w:r w:rsidRPr="00A1729D">
        <w:rPr>
          <w:rFonts w:ascii="Aptos" w:eastAsia="Arial" w:hAnsi="Aptos" w:cs="Arial"/>
          <w:b/>
          <w:bCs/>
          <w:noProof/>
          <w:color w:val="000000" w:themeColor="text1"/>
        </w:rPr>
        <w:t xml:space="preserve"> </w:t>
      </w:r>
      <w:r w:rsidRPr="00A1729D">
        <w:rPr>
          <w:rFonts w:ascii="Arial" w:eastAsia="Arial" w:hAnsi="Arial" w:cs="Arial"/>
          <w:b/>
          <w:bCs/>
          <w:noProof/>
          <w:color w:val="000000" w:themeColor="text1"/>
        </w:rPr>
        <w:t>التغطية</w:t>
      </w:r>
      <w:r w:rsidRPr="00A1729D">
        <w:rPr>
          <w:rFonts w:ascii="Aptos" w:eastAsia="Arial" w:hAnsi="Aptos" w:cs="Arial"/>
          <w:b/>
          <w:bCs/>
          <w:noProof/>
          <w:color w:val="000000" w:themeColor="text1"/>
        </w:rPr>
        <w:t xml:space="preserve"> </w:t>
      </w:r>
      <w:r w:rsidRPr="00A1729D">
        <w:rPr>
          <w:rFonts w:ascii="Arial" w:eastAsia="Arial" w:hAnsi="Arial" w:cs="Arial"/>
          <w:b/>
          <w:bCs/>
          <w:noProof/>
          <w:color w:val="000000" w:themeColor="text1"/>
        </w:rPr>
        <w:t>الداخلية</w:t>
      </w:r>
      <w:r w:rsidR="00CD605A">
        <w:rPr>
          <w:rFonts w:ascii="Aptos" w:eastAsia="Arial" w:hAnsi="Aptos" w:cs="Arial" w:hint="cs"/>
          <w:b/>
          <w:bCs/>
          <w:noProof/>
          <w:color w:val="000000" w:themeColor="text1"/>
          <w:rtl/>
        </w:rPr>
        <w:t xml:space="preserve"> </w:t>
      </w:r>
      <w:r w:rsidR="00CD605A" w:rsidRPr="00A1729D">
        <w:rPr>
          <w:rFonts w:ascii="Aptos" w:eastAsia="Arial" w:hAnsi="Aptos" w:cs="Arial"/>
          <w:b/>
          <w:bCs/>
          <w:noProof/>
          <w:color w:val="000000" w:themeColor="text1"/>
        </w:rPr>
        <w:t>(IBS)</w:t>
      </w:r>
    </w:p>
    <w:p w14:paraId="5778BFDE" w14:textId="77777777" w:rsidR="000216F6" w:rsidRPr="00297674" w:rsidRDefault="000216F6" w:rsidP="000216F6">
      <w:pPr>
        <w:pStyle w:val="Heading1"/>
        <w:bidi/>
        <w:rPr>
          <w:noProof/>
          <w:color w:val="000000" w:themeColor="text1"/>
        </w:rPr>
      </w:pPr>
      <w:r w:rsidRPr="00297674">
        <w:rPr>
          <w:noProof/>
          <w:color w:val="000000" w:themeColor="text1"/>
        </w:rPr>
        <w:t>شروط وأحكام مرحلة ما قبل البيع والمسح الميداني</w:t>
      </w:r>
    </w:p>
    <w:p w14:paraId="4E658E86" w14:textId="77777777" w:rsidR="000216F6" w:rsidRPr="00297674" w:rsidRDefault="000216F6" w:rsidP="000216F6">
      <w:pPr>
        <w:bidi/>
        <w:spacing w:after="100"/>
        <w:rPr>
          <w:noProof/>
          <w:color w:val="000000" w:themeColor="text1"/>
        </w:rPr>
      </w:pPr>
      <w:r w:rsidRPr="00297674">
        <w:rPr>
          <w:noProof/>
          <w:color w:val="000000" w:themeColor="text1"/>
        </w:rPr>
        <w:t>خلال مرحلة ما قبل البيع والتصميم، يلتزم العميل بتزويد زين بجميع المعلومات اللازمة لتقييم الحل وتصميمه والتخطيط له.</w:t>
      </w:r>
    </w:p>
    <w:p w14:paraId="29199395" w14:textId="77777777" w:rsidR="000216F6" w:rsidRPr="00297674" w:rsidRDefault="000216F6" w:rsidP="000216F6">
      <w:pPr>
        <w:bidi/>
        <w:spacing w:after="80"/>
        <w:rPr>
          <w:noProof/>
          <w:color w:val="000000" w:themeColor="text1"/>
        </w:rPr>
      </w:pPr>
      <w:r w:rsidRPr="00297674">
        <w:rPr>
          <w:noProof/>
          <w:color w:val="000000" w:themeColor="text1"/>
        </w:rPr>
        <w:t>يشمل ذلك تقديم:</w:t>
      </w:r>
    </w:p>
    <w:p w14:paraId="553F79FE"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معلومات تفصيلية ومحدّثة عن المبنى، تتضمن المساحة الإجمالية ونوع الاستخدام ومواد البناء</w:t>
      </w:r>
    </w:p>
    <w:p w14:paraId="7F37EE52"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مخططات طابقية دقيقة وشاملة لجميع المناطق ضمن النطاق (ورقية و/أو إلكترونية)</w:t>
      </w:r>
    </w:p>
    <w:p w14:paraId="1FBEB2F5"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معلومات عن غرف المعدات المتاحة، والمسارات الرأسية، والأسقف، ومسارات الكابلات</w:t>
      </w:r>
    </w:p>
    <w:p w14:paraId="71E41B85"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تفاصيل البنية التحتية للاتصالات القائمة، إن وُجدت</w:t>
      </w:r>
    </w:p>
    <w:p w14:paraId="5700B833" w14:textId="77777777" w:rsidR="000216F6" w:rsidRPr="00297674" w:rsidRDefault="000216F6" w:rsidP="000216F6">
      <w:pPr>
        <w:bidi/>
        <w:spacing w:before="100" w:after="100"/>
        <w:rPr>
          <w:noProof/>
          <w:color w:val="000000" w:themeColor="text1"/>
        </w:rPr>
      </w:pPr>
      <w:r w:rsidRPr="00297674">
        <w:rPr>
          <w:noProof/>
          <w:color w:val="000000" w:themeColor="text1"/>
        </w:rPr>
        <w:t>كما يلتزم العميل بمنح زين حق الوصول المعقول إلى الموقع لإجراء المسوحات والقياسات والتقييمات الفنية اللازمة لتخطيط النظام وتصميمه.</w:t>
      </w:r>
    </w:p>
    <w:p w14:paraId="51A7522B" w14:textId="77777777" w:rsidR="000216F6" w:rsidRPr="00297674" w:rsidRDefault="000216F6" w:rsidP="000216F6">
      <w:pPr>
        <w:bidi/>
        <w:spacing w:after="80"/>
        <w:rPr>
          <w:noProof/>
          <w:color w:val="000000" w:themeColor="text1"/>
        </w:rPr>
      </w:pPr>
      <w:r w:rsidRPr="00297674">
        <w:rPr>
          <w:noProof/>
          <w:color w:val="000000" w:themeColor="text1"/>
        </w:rPr>
        <w:t>لن تكون زين مسؤولة عن أي تغييرات في التصميم أو تأخيرات أو تكاليف إضافية ناجمة عن:</w:t>
      </w:r>
    </w:p>
    <w:p w14:paraId="1B082D11"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معلومات مبنى غير مكتملة أو غير دقيقة أو قديمة</w:t>
      </w:r>
    </w:p>
    <w:p w14:paraId="23B598CE"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تقييد الوصول أو التأخر في السماح بإجراء المسوحات الميدانية</w:t>
      </w:r>
    </w:p>
    <w:p w14:paraId="08B3D016"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تغييرات في تصميم المبنى أو أوضاعه بعد اكتمال المسح</w:t>
      </w:r>
    </w:p>
    <w:p w14:paraId="754286C6" w14:textId="77777777" w:rsidR="000216F6" w:rsidRPr="00297674" w:rsidRDefault="000216F6" w:rsidP="000216F6">
      <w:pPr>
        <w:bidi/>
        <w:spacing w:before="100" w:after="200"/>
        <w:rPr>
          <w:noProof/>
          <w:color w:val="000000" w:themeColor="text1"/>
        </w:rPr>
      </w:pPr>
      <w:r w:rsidRPr="00297674">
        <w:rPr>
          <w:noProof/>
          <w:color w:val="000000" w:themeColor="text1"/>
        </w:rPr>
        <w:t>أي إعادة تصميم أو مسح إضافي أو أعمال مستحدثة تنشأ عن هذه الأسباب قد تستوجب تعديلات على نطاق الحل والجدول الزمني والشروط التجارية.</w:t>
      </w:r>
    </w:p>
    <w:p w14:paraId="14394F45" w14:textId="77777777" w:rsidR="000216F6" w:rsidRPr="00297674" w:rsidRDefault="000216F6" w:rsidP="000216F6">
      <w:pPr>
        <w:pStyle w:val="Heading1"/>
        <w:bidi/>
        <w:rPr>
          <w:noProof/>
          <w:color w:val="000000" w:themeColor="text1"/>
        </w:rPr>
      </w:pPr>
      <w:r w:rsidRPr="00297674">
        <w:rPr>
          <w:noProof/>
          <w:color w:val="000000" w:themeColor="text1"/>
        </w:rPr>
        <w:t>شروط وأحكام المبيعات والتسليم</w:t>
      </w:r>
    </w:p>
    <w:p w14:paraId="75A2CEEC" w14:textId="77777777" w:rsidR="000216F6" w:rsidRPr="00297674" w:rsidRDefault="000216F6" w:rsidP="000216F6">
      <w:pPr>
        <w:pStyle w:val="Heading2"/>
        <w:bidi/>
        <w:rPr>
          <w:noProof/>
          <w:color w:val="000000" w:themeColor="text1"/>
        </w:rPr>
      </w:pPr>
      <w:r w:rsidRPr="00297674">
        <w:rPr>
          <w:noProof/>
          <w:color w:val="000000" w:themeColor="text1"/>
        </w:rPr>
        <w:t>جاهزية موقع العميل</w:t>
      </w:r>
    </w:p>
    <w:p w14:paraId="01E9312B" w14:textId="15594BE0" w:rsidR="000216F6" w:rsidRPr="00297674" w:rsidRDefault="000216F6" w:rsidP="000216F6">
      <w:pPr>
        <w:bidi/>
        <w:spacing w:after="100"/>
        <w:rPr>
          <w:noProof/>
          <w:color w:val="000000" w:themeColor="text1"/>
        </w:rPr>
      </w:pPr>
      <w:r w:rsidRPr="00297674">
        <w:rPr>
          <w:noProof/>
          <w:color w:val="000000" w:themeColor="text1"/>
        </w:rPr>
        <w:t xml:space="preserve">يتحمل العميل مسؤولية التأكد من أن الموقع جاهز تماماً لتركيب نظام </w:t>
      </w:r>
      <w:r w:rsidR="00DD6B36" w:rsidRPr="00DD6B36">
        <w:rPr>
          <w:noProof/>
          <w:color w:val="000000" w:themeColor="text1"/>
        </w:rPr>
        <w:t>التغطية الداخلية</w:t>
      </w:r>
      <w:r w:rsidRPr="00297674">
        <w:rPr>
          <w:noProof/>
          <w:color w:val="000000" w:themeColor="text1"/>
        </w:rPr>
        <w:t xml:space="preserve"> قبل تاريخ التركيب المتفق عليه، وأن يكون الموقع متاحاً ومستوفياً للمتطلبات الفنية للنظام.</w:t>
      </w:r>
    </w:p>
    <w:p w14:paraId="6A0FF4CB" w14:textId="77777777" w:rsidR="000216F6" w:rsidRPr="00297674" w:rsidRDefault="000216F6" w:rsidP="000216F6">
      <w:pPr>
        <w:bidi/>
        <w:spacing w:after="80"/>
        <w:rPr>
          <w:noProof/>
          <w:color w:val="000000" w:themeColor="text1"/>
        </w:rPr>
      </w:pPr>
      <w:r w:rsidRPr="00297674">
        <w:rPr>
          <w:noProof/>
          <w:color w:val="000000" w:themeColor="text1"/>
        </w:rPr>
        <w:t>يشمل ذلك التأكد من:</w:t>
      </w:r>
    </w:p>
    <w:p w14:paraId="012EF61B"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توفر مصدر الطاقة والتأريض وجاهزيتهما للتشغيل</w:t>
      </w:r>
    </w:p>
    <w:p w14:paraId="01A41293"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توفر مساحة كافية لمعدات وهوائيات النظام</w:t>
      </w:r>
    </w:p>
    <w:p w14:paraId="0E693DB1"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إتمام أعمال البنية التحتية المدنية المطلوبة، بما فيها مسارات الكابلات والأدراج ونقاط التثبيت</w:t>
      </w:r>
    </w:p>
    <w:p w14:paraId="76705552"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استيفاء بيئة التشغيل لمتطلبات المعدات</w:t>
      </w:r>
    </w:p>
    <w:p w14:paraId="4E862E2D"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الحصول على جميع التصاريح والموافقات وأذونات الدخول اللازمة</w:t>
      </w:r>
    </w:p>
    <w:p w14:paraId="0CA64E7D"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منح فرق زين حق الوصول إلى المناطق المطلوبة خلال ساعات العمل المتفق عليها</w:t>
      </w:r>
    </w:p>
    <w:p w14:paraId="631DD897" w14:textId="77777777" w:rsidR="000216F6" w:rsidRPr="00297674" w:rsidRDefault="000216F6" w:rsidP="000216F6">
      <w:pPr>
        <w:bidi/>
        <w:spacing w:before="100" w:after="200"/>
        <w:rPr>
          <w:noProof/>
          <w:color w:val="000000" w:themeColor="text1"/>
        </w:rPr>
      </w:pPr>
      <w:r w:rsidRPr="00297674">
        <w:rPr>
          <w:noProof/>
          <w:color w:val="000000" w:themeColor="text1"/>
        </w:rPr>
        <w:t>لن تكون زين مسؤولة عن أي تأخير أو إعادة أعمال أو تكاليف إضافية أو إخفاق في الالتزام بالجداول الزمنية للتنفيذ يعود إلى عدم جاهزية الموقع أو تعذّر الوصول إليه. وقد تُحمَّل أي زيارات أو أعمال إضافية ناجمة عن ذلك على العميل.</w:t>
      </w:r>
    </w:p>
    <w:p w14:paraId="0B0B0821" w14:textId="77777777" w:rsidR="000216F6" w:rsidRPr="00297674" w:rsidRDefault="000216F6" w:rsidP="000216F6">
      <w:pPr>
        <w:pStyle w:val="Heading2"/>
        <w:bidi/>
        <w:rPr>
          <w:noProof/>
          <w:color w:val="000000" w:themeColor="text1"/>
        </w:rPr>
      </w:pPr>
      <w:r w:rsidRPr="00297674">
        <w:rPr>
          <w:noProof/>
          <w:color w:val="000000" w:themeColor="text1"/>
        </w:rPr>
        <w:t>الاعتماد على أطراف ثالثة وشروط المبنى</w:t>
      </w:r>
    </w:p>
    <w:p w14:paraId="41438359" w14:textId="3CB63720" w:rsidR="000216F6" w:rsidRPr="00297674" w:rsidRDefault="000216F6" w:rsidP="000216F6">
      <w:pPr>
        <w:bidi/>
        <w:spacing w:after="100"/>
        <w:rPr>
          <w:noProof/>
          <w:color w:val="000000" w:themeColor="text1"/>
        </w:rPr>
      </w:pPr>
      <w:r w:rsidRPr="00297674">
        <w:rPr>
          <w:noProof/>
          <w:color w:val="000000" w:themeColor="text1"/>
        </w:rPr>
        <w:t>يُقرّ العميل بأن تنفيذ نظام</w:t>
      </w:r>
      <w:r w:rsidR="00FF6423" w:rsidRPr="00297674">
        <w:rPr>
          <w:noProof/>
          <w:color w:val="000000" w:themeColor="text1"/>
        </w:rPr>
        <w:t xml:space="preserve"> </w:t>
      </w:r>
      <w:r w:rsidR="00FF6423" w:rsidRPr="00DD6B36">
        <w:rPr>
          <w:noProof/>
          <w:color w:val="000000" w:themeColor="text1"/>
        </w:rPr>
        <w:t>التغطية الداخلية</w:t>
      </w:r>
      <w:r w:rsidRPr="00297674">
        <w:rPr>
          <w:noProof/>
          <w:color w:val="000000" w:themeColor="text1"/>
        </w:rPr>
        <w:t xml:space="preserve"> قد يعتمد على أطراف ثالثة وعوامل مرتبطة بالمبنى خارجة عن سيطرة زين، كأصحاب العقارات وإدارات المباني ومشغّلي شبكات الجوال الآخرين وموردي الخدمات أو الجهات التنظيمية.</w:t>
      </w:r>
    </w:p>
    <w:p w14:paraId="5612D15C" w14:textId="77777777" w:rsidR="000216F6" w:rsidRPr="00297674" w:rsidRDefault="000216F6" w:rsidP="000216F6">
      <w:pPr>
        <w:bidi/>
        <w:spacing w:after="100"/>
        <w:rPr>
          <w:noProof/>
          <w:color w:val="000000" w:themeColor="text1"/>
        </w:rPr>
      </w:pPr>
      <w:r w:rsidRPr="00297674">
        <w:rPr>
          <w:noProof/>
          <w:color w:val="000000" w:themeColor="text1"/>
        </w:rPr>
        <w:t>يتحمل العميل مسؤولية التنسيق مع هذه الأطراف وضمان حصوله على موافقاتها وصلاحيات الوصول والالتزام بلوائح المبنى.</w:t>
      </w:r>
    </w:p>
    <w:p w14:paraId="2AF6A312" w14:textId="77777777" w:rsidR="000216F6" w:rsidRPr="00297674" w:rsidRDefault="000216F6" w:rsidP="000216F6">
      <w:pPr>
        <w:bidi/>
        <w:spacing w:after="80"/>
        <w:rPr>
          <w:noProof/>
          <w:color w:val="000000" w:themeColor="text1"/>
        </w:rPr>
      </w:pPr>
      <w:r w:rsidRPr="00297674">
        <w:rPr>
          <w:noProof/>
          <w:color w:val="000000" w:themeColor="text1"/>
        </w:rPr>
        <w:t>لن تكون زين مسؤولة عن أي تأخيرات أو إعادة جدولة أو تعليق أو تكاليف إضافية ناجمة عن:</w:t>
      </w:r>
    </w:p>
    <w:p w14:paraId="52DAAB8D"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تأخر أطراف ثالثة أو إخفاقها في تنفيذ التزاماتها</w:t>
      </w:r>
    </w:p>
    <w:p w14:paraId="29F41B0A"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تأخر استصدار التصاريح والموافقات أو رفضها</w:t>
      </w:r>
    </w:p>
    <w:p w14:paraId="14BE07CE"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قيود المبنى أو صاحب العقار على الوصول أو أنشطة التركيب</w:t>
      </w:r>
    </w:p>
    <w:p w14:paraId="593E3404"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lastRenderedPageBreak/>
        <w:t>قيود هيكلية أو بنية تحتية يُكتشف أمرها أثناء التنفيذ</w:t>
      </w:r>
    </w:p>
    <w:p w14:paraId="425E508C"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تغييرات يفرضها ملاك العقارات أو الجهات التنظيمية أو إدارات المباني</w:t>
      </w:r>
    </w:p>
    <w:p w14:paraId="3744F58F" w14:textId="77777777" w:rsidR="000216F6" w:rsidRPr="00297674" w:rsidRDefault="000216F6" w:rsidP="000216F6">
      <w:pPr>
        <w:bidi/>
        <w:spacing w:before="100" w:after="200"/>
        <w:rPr>
          <w:noProof/>
          <w:color w:val="000000" w:themeColor="text1"/>
        </w:rPr>
      </w:pPr>
      <w:r w:rsidRPr="00297674">
        <w:rPr>
          <w:noProof/>
          <w:color w:val="000000" w:themeColor="text1"/>
        </w:rPr>
        <w:t>أي تأثير على النطاق أو الجدول الزمني أو التكلفة ناجم عن هذه العوامل قد يستلزم تعديل خطة التنفيذ وقد يُفضي إلى تكاليف إضافية، ولن يُعدّ ذلك إخلالاً أو تقصيراً من جانب زين.</w:t>
      </w:r>
    </w:p>
    <w:p w14:paraId="6B8D3B99" w14:textId="77777777" w:rsidR="000216F6" w:rsidRPr="00297674" w:rsidRDefault="000216F6" w:rsidP="000216F6">
      <w:pPr>
        <w:pStyle w:val="Heading1"/>
        <w:bidi/>
        <w:rPr>
          <w:noProof/>
          <w:color w:val="000000" w:themeColor="text1"/>
        </w:rPr>
      </w:pPr>
      <w:r w:rsidRPr="00297674">
        <w:rPr>
          <w:noProof/>
          <w:color w:val="000000" w:themeColor="text1"/>
        </w:rPr>
        <w:t>شروط وأحكام ما بعد البيع والدعم</w:t>
      </w:r>
    </w:p>
    <w:p w14:paraId="243455D1" w14:textId="77777777" w:rsidR="000216F6" w:rsidRPr="00297674" w:rsidRDefault="000216F6" w:rsidP="000216F6">
      <w:pPr>
        <w:pStyle w:val="Heading2"/>
        <w:bidi/>
        <w:rPr>
          <w:noProof/>
          <w:color w:val="000000" w:themeColor="text1"/>
        </w:rPr>
      </w:pPr>
      <w:r w:rsidRPr="00297674">
        <w:rPr>
          <w:noProof/>
          <w:color w:val="000000" w:themeColor="text1"/>
        </w:rPr>
        <w:t>في حال عدم إسناد التشغيل والصيانة لزين</w:t>
      </w:r>
    </w:p>
    <w:p w14:paraId="06CD08DF" w14:textId="77777777" w:rsidR="000216F6" w:rsidRPr="00297674" w:rsidRDefault="000216F6" w:rsidP="000216F6">
      <w:pPr>
        <w:bidi/>
        <w:spacing w:after="80"/>
        <w:rPr>
          <w:noProof/>
          <w:color w:val="000000" w:themeColor="text1"/>
        </w:rPr>
      </w:pPr>
      <w:r w:rsidRPr="00297674">
        <w:rPr>
          <w:noProof/>
          <w:color w:val="000000" w:themeColor="text1"/>
        </w:rPr>
        <w:t>إذا لم يُسنَد إلى زين تقديم خدمات التشغيل والصيانة والدعم:</w:t>
      </w:r>
    </w:p>
    <w:p w14:paraId="02DA139B"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تقتصر مسؤولية زين على مكوّنات الاتصالات التي وفّرتها، وفق المواصفات المتفق عليها وشروط الضمان.</w:t>
      </w:r>
    </w:p>
    <w:p w14:paraId="032EC474"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لا تتحمل زين أي مسؤولية تجاه التشغيل أو الصيانة الوقائية أو التصحيحية أو الطاقة أو البنية التحتية المدنية للمبنى أو المكوّنات السلبية أو الأعطال الناجمة عن أنظمة تديرها أطراف ثالثة أو العميل.</w:t>
      </w:r>
    </w:p>
    <w:p w14:paraId="343350E3"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تظل مشكلات الأداء الناجمة عن سوء تشغيل العميل أو الأطراف الثالثة أو إهمال الصيانة خارج نطاق مسؤولية زين.</w:t>
      </w:r>
    </w:p>
    <w:p w14:paraId="2FB2EE86" w14:textId="77777777" w:rsidR="000216F6" w:rsidRPr="00297674" w:rsidRDefault="000216F6" w:rsidP="000216F6">
      <w:pPr>
        <w:pStyle w:val="Heading2"/>
        <w:bidi/>
        <w:rPr>
          <w:noProof/>
          <w:color w:val="000000" w:themeColor="text1"/>
        </w:rPr>
      </w:pPr>
      <w:r w:rsidRPr="00297674">
        <w:rPr>
          <w:noProof/>
          <w:color w:val="000000" w:themeColor="text1"/>
        </w:rPr>
        <w:t>في حال إسناد التشغيل والصيانة لزين</w:t>
      </w:r>
    </w:p>
    <w:p w14:paraId="7E75699C" w14:textId="77777777" w:rsidR="000216F6" w:rsidRPr="00297674" w:rsidRDefault="000216F6" w:rsidP="000216F6">
      <w:pPr>
        <w:bidi/>
        <w:spacing w:after="80"/>
        <w:rPr>
          <w:noProof/>
          <w:color w:val="000000" w:themeColor="text1"/>
        </w:rPr>
      </w:pPr>
      <w:r w:rsidRPr="00297674">
        <w:rPr>
          <w:noProof/>
          <w:color w:val="000000" w:themeColor="text1"/>
        </w:rPr>
        <w:t>إذا أُسنِدت إلى زين خدمات التشغيل والصيانة والدعم:</w:t>
      </w:r>
    </w:p>
    <w:p w14:paraId="79618B31"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يجب توقيع اتفاقية تشغيل وصيانة منفصلة قبل بدء تقديم الخدمة.</w:t>
      </w:r>
    </w:p>
    <w:p w14:paraId="2E25CB04"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تتضمن الاتفاقية اتفاقية مستوى خدمة (SLA) محددة بوضوح ومصفوفة توزيع المسؤوليات (RACI).</w:t>
      </w:r>
    </w:p>
    <w:p w14:paraId="7AEA27CD" w14:textId="77777777" w:rsidR="000216F6" w:rsidRPr="00297674" w:rsidRDefault="000216F6" w:rsidP="000216F6">
      <w:pPr>
        <w:pStyle w:val="ListParagraph"/>
        <w:numPr>
          <w:ilvl w:val="0"/>
          <w:numId w:val="2"/>
        </w:numPr>
        <w:bidi/>
        <w:spacing w:after="60"/>
        <w:ind w:left="0"/>
        <w:contextualSpacing w:val="0"/>
        <w:rPr>
          <w:noProof/>
          <w:color w:val="000000" w:themeColor="text1"/>
        </w:rPr>
      </w:pPr>
      <w:r w:rsidRPr="00297674">
        <w:rPr>
          <w:noProof/>
          <w:color w:val="000000" w:themeColor="text1"/>
        </w:rPr>
        <w:t>تنحصر مسؤوليات زين في النطاق المتفق عليه للتشغيل والصيانة حصراً.</w:t>
      </w:r>
    </w:p>
    <w:p w14:paraId="0405CB07" w14:textId="77777777" w:rsidR="000216F6" w:rsidRPr="00297674" w:rsidRDefault="000216F6" w:rsidP="000216F6">
      <w:pPr>
        <w:pStyle w:val="Heading2"/>
        <w:bidi/>
        <w:rPr>
          <w:noProof/>
          <w:color w:val="000000" w:themeColor="text1"/>
        </w:rPr>
      </w:pPr>
      <w:r w:rsidRPr="00297674">
        <w:rPr>
          <w:noProof/>
          <w:color w:val="000000" w:themeColor="text1"/>
        </w:rPr>
        <w:t>التسييل التجاري</w:t>
      </w:r>
    </w:p>
    <w:p w14:paraId="6D4A8037" w14:textId="5E938AFD" w:rsidR="000216F6" w:rsidRDefault="000216F6" w:rsidP="000216F6">
      <w:pPr>
        <w:bidi/>
        <w:spacing w:after="200"/>
        <w:rPr>
          <w:noProof/>
        </w:rPr>
      </w:pPr>
      <w:r w:rsidRPr="00297674">
        <w:rPr>
          <w:noProof/>
          <w:color w:val="000000" w:themeColor="text1"/>
        </w:rPr>
        <w:t>لا تتحمل زين أي مسؤولية تجاه</w:t>
      </w:r>
      <w:r w:rsidR="00362F9B">
        <w:rPr>
          <w:noProof/>
          <w:color w:val="000000" w:themeColor="text1"/>
        </w:rPr>
        <w:t xml:space="preserve">  </w:t>
      </w:r>
      <w:r w:rsidRPr="00297674">
        <w:rPr>
          <w:noProof/>
          <w:color w:val="000000" w:themeColor="text1"/>
        </w:rPr>
        <w:t xml:space="preserve"> </w:t>
      </w:r>
      <w:r w:rsidR="00362F9B">
        <w:rPr>
          <w:noProof/>
          <w:color w:val="000000" w:themeColor="text1"/>
        </w:rPr>
        <w:t xml:space="preserve"> </w:t>
      </w:r>
      <w:r w:rsidR="0066552D">
        <w:rPr>
          <w:rFonts w:hint="cs"/>
          <w:noProof/>
          <w:color w:val="000000" w:themeColor="text1"/>
          <w:rtl/>
        </w:rPr>
        <w:t xml:space="preserve"> </w:t>
      </w:r>
      <w:r w:rsidR="00362F9B" w:rsidRPr="00362F9B">
        <w:rPr>
          <w:noProof/>
          <w:color w:val="000000" w:themeColor="text1"/>
          <w:rtl/>
        </w:rPr>
        <w:t>تحقيق</w:t>
      </w:r>
      <w:r w:rsidR="00362F9B">
        <w:rPr>
          <w:noProof/>
          <w:color w:val="000000" w:themeColor="text1"/>
        </w:rPr>
        <w:t xml:space="preserve"> </w:t>
      </w:r>
      <w:r w:rsidR="00362F9B" w:rsidRPr="00362F9B">
        <w:rPr>
          <w:noProof/>
          <w:color w:val="000000" w:themeColor="text1"/>
          <w:rtl/>
        </w:rPr>
        <w:t xml:space="preserve"> العائد المالي</w:t>
      </w:r>
      <w:r w:rsidR="00362F9B">
        <w:rPr>
          <w:noProof/>
          <w:color w:val="000000" w:themeColor="text1"/>
        </w:rPr>
        <w:t xml:space="preserve"> </w:t>
      </w:r>
      <w:r w:rsidRPr="00297674">
        <w:rPr>
          <w:noProof/>
          <w:color w:val="000000" w:themeColor="text1"/>
        </w:rPr>
        <w:t xml:space="preserve">التجاري لحل </w:t>
      </w:r>
      <w:r w:rsidR="00FF6423" w:rsidRPr="00297674">
        <w:rPr>
          <w:noProof/>
          <w:color w:val="000000" w:themeColor="text1"/>
        </w:rPr>
        <w:t xml:space="preserve">نظام </w:t>
      </w:r>
      <w:r w:rsidR="00FF6423" w:rsidRPr="00DD6B36">
        <w:rPr>
          <w:noProof/>
          <w:color w:val="000000" w:themeColor="text1"/>
        </w:rPr>
        <w:t>التغطية الداخلية</w:t>
      </w:r>
      <w:r w:rsidRPr="00297674">
        <w:rPr>
          <w:noProof/>
          <w:color w:val="000000" w:themeColor="text1"/>
        </w:rPr>
        <w:t xml:space="preserve"> أو تسويقه أو إعادة بيعه أو تحقيق عوائد منه. يظل الاستثمار التجاري والعائد على الاستثمار من مسؤولية العميل الكاملة، ما لم يُت</w:t>
      </w:r>
      <w:r>
        <w:rPr>
          <w:noProof/>
        </w:rPr>
        <w:t>فق على خلاف ذلك كتابةً.</w:t>
      </w:r>
    </w:p>
    <w:p w14:paraId="623C2B6A" w14:textId="6A4BDE29" w:rsidR="00A1729D" w:rsidRDefault="00CC0A09" w:rsidP="00A1729D">
      <w:pPr>
        <w:bidi/>
        <w:spacing w:after="200"/>
        <w:rPr>
          <w:noProof/>
          <w:sz w:val="40"/>
          <w:szCs w:val="40"/>
          <w:rtl/>
        </w:rPr>
      </w:pPr>
      <w:r w:rsidRPr="00CC0A09">
        <w:rPr>
          <w:rFonts w:hint="cs"/>
          <w:noProof/>
          <w:sz w:val="40"/>
          <w:szCs w:val="40"/>
          <w:rtl/>
        </w:rPr>
        <w:t>أحكام عامة</w:t>
      </w:r>
    </w:p>
    <w:p w14:paraId="2E86DFE9" w14:textId="2CE9DAF0" w:rsidR="00CC0A09" w:rsidRPr="00CC0A09" w:rsidRDefault="00CC0A09" w:rsidP="00CC0A09">
      <w:pPr>
        <w:pStyle w:val="ListParagraph"/>
        <w:numPr>
          <w:ilvl w:val="0"/>
          <w:numId w:val="4"/>
        </w:numPr>
        <w:bidi/>
        <w:spacing w:after="200"/>
        <w:jc w:val="both"/>
        <w:rPr>
          <w:noProof/>
        </w:rPr>
      </w:pPr>
      <w:r w:rsidRPr="00CC0A09">
        <w:rPr>
          <w:noProof/>
          <w:rtl/>
        </w:rPr>
        <w:t>تخضع هذه الشروط والأحكام وتُفسَّر وفقًا لأنظمة المملكة العربية السعودية</w:t>
      </w:r>
      <w:r w:rsidR="00B44570">
        <w:rPr>
          <w:rFonts w:hint="cs"/>
          <w:noProof/>
          <w:rtl/>
        </w:rPr>
        <w:t>،</w:t>
      </w:r>
      <w:r w:rsidRPr="00CC0A09">
        <w:rPr>
          <w:noProof/>
          <w:rtl/>
        </w:rPr>
        <w:t xml:space="preserve"> وتختص المحاكم المختصة في المملكة العربية السعودية بالنظر في أي نزاع ينشأ عنها أو يتعلق بها.</w:t>
      </w:r>
    </w:p>
    <w:p w14:paraId="6361CB19" w14:textId="5B3A6121" w:rsidR="00CC0A09" w:rsidRDefault="00CC0A09" w:rsidP="00CC0A09">
      <w:pPr>
        <w:pStyle w:val="ListParagraph"/>
        <w:numPr>
          <w:ilvl w:val="0"/>
          <w:numId w:val="4"/>
        </w:numPr>
        <w:bidi/>
        <w:spacing w:after="200"/>
        <w:jc w:val="both"/>
        <w:rPr>
          <w:noProof/>
        </w:rPr>
      </w:pPr>
      <w:r w:rsidRPr="00CC0A09">
        <w:rPr>
          <w:noProof/>
          <w:rtl/>
        </w:rPr>
        <w:t>لا تتحمل زين أي مسؤولية عن أي أضرار غير مباشرة أو عرضية أو تبعية، بما في ذلك خسارة الأرباح أو الإيرادات أو الأعمال. وفي جميع الأحوال، تقتصر المسؤولية الإجمالية لزين الناشئة عن هذه الشروط والأحكام أو المرتبطة بها على قيمة خدمات أو معدات نظام التغطية الداخلية ذات الصلة.</w:t>
      </w:r>
    </w:p>
    <w:p w14:paraId="4F1D0E8C" w14:textId="7B0D2D67" w:rsidR="00F1605A" w:rsidRDefault="007A0127" w:rsidP="00053FD1">
      <w:pPr>
        <w:pStyle w:val="ListParagraph"/>
        <w:numPr>
          <w:ilvl w:val="0"/>
          <w:numId w:val="4"/>
        </w:numPr>
        <w:bidi/>
        <w:spacing w:after="200"/>
        <w:jc w:val="both"/>
        <w:rPr>
          <w:noProof/>
        </w:rPr>
      </w:pPr>
      <w:r w:rsidRPr="007A0127">
        <w:rPr>
          <w:noProof/>
          <w:rtl/>
        </w:rPr>
        <w:t>تصبح هذه الشروط والأحكام ملزمة للعميل عند قبولها، ويشمل ذلك توقيع اتفاقية ذات صلة أو إصدار أمر شراء أو استخدام خدمات نظام التغطية الداخلية.</w:t>
      </w:r>
      <w:r>
        <w:rPr>
          <w:noProof/>
        </w:rPr>
        <w:t xml:space="preserve"> </w:t>
      </w:r>
    </w:p>
    <w:sectPr w:rsidR="00F1605A" w:rsidSect="000216F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F1FC" w14:textId="77777777" w:rsidR="004C2FC5" w:rsidRDefault="004C2FC5" w:rsidP="000216F6">
      <w:r>
        <w:separator/>
      </w:r>
    </w:p>
  </w:endnote>
  <w:endnote w:type="continuationSeparator" w:id="0">
    <w:p w14:paraId="659FB4B3" w14:textId="77777777" w:rsidR="004C2FC5" w:rsidRDefault="004C2FC5" w:rsidP="0002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439E" w14:textId="77777777" w:rsidR="004C2FC5" w:rsidRDefault="004C2FC5" w:rsidP="000216F6">
      <w:r>
        <w:separator/>
      </w:r>
    </w:p>
  </w:footnote>
  <w:footnote w:type="continuationSeparator" w:id="0">
    <w:p w14:paraId="75AD4D16" w14:textId="77777777" w:rsidR="004C2FC5" w:rsidRDefault="004C2FC5" w:rsidP="0002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9D7"/>
    <w:multiLevelType w:val="hybridMultilevel"/>
    <w:tmpl w:val="9500A1C2"/>
    <w:lvl w:ilvl="0" w:tplc="F8E050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6C31"/>
    <w:multiLevelType w:val="hybridMultilevel"/>
    <w:tmpl w:val="A3A8F598"/>
    <w:lvl w:ilvl="0" w:tplc="612E8A94">
      <w:start w:val="1"/>
      <w:numFmt w:val="bullet"/>
      <w:lvlText w:val="•"/>
      <w:lvlJc w:val="left"/>
      <w:pPr>
        <w:ind w:left="720" w:hanging="360"/>
      </w:pPr>
    </w:lvl>
    <w:lvl w:ilvl="1" w:tplc="C7327BFA">
      <w:numFmt w:val="decimal"/>
      <w:lvlText w:val=""/>
      <w:lvlJc w:val="left"/>
    </w:lvl>
    <w:lvl w:ilvl="2" w:tplc="8E84ED26">
      <w:numFmt w:val="decimal"/>
      <w:lvlText w:val=""/>
      <w:lvlJc w:val="left"/>
    </w:lvl>
    <w:lvl w:ilvl="3" w:tplc="6F360AA6">
      <w:numFmt w:val="decimal"/>
      <w:lvlText w:val=""/>
      <w:lvlJc w:val="left"/>
    </w:lvl>
    <w:lvl w:ilvl="4" w:tplc="073E10EA">
      <w:numFmt w:val="decimal"/>
      <w:lvlText w:val=""/>
      <w:lvlJc w:val="left"/>
    </w:lvl>
    <w:lvl w:ilvl="5" w:tplc="1ECA9682">
      <w:numFmt w:val="decimal"/>
      <w:lvlText w:val=""/>
      <w:lvlJc w:val="left"/>
    </w:lvl>
    <w:lvl w:ilvl="6" w:tplc="86E8E6B6">
      <w:numFmt w:val="decimal"/>
      <w:lvlText w:val=""/>
      <w:lvlJc w:val="left"/>
    </w:lvl>
    <w:lvl w:ilvl="7" w:tplc="516C33CC">
      <w:numFmt w:val="decimal"/>
      <w:lvlText w:val=""/>
      <w:lvlJc w:val="left"/>
    </w:lvl>
    <w:lvl w:ilvl="8" w:tplc="7B40BC10">
      <w:numFmt w:val="decimal"/>
      <w:lvlText w:val=""/>
      <w:lvlJc w:val="left"/>
    </w:lvl>
  </w:abstractNum>
  <w:abstractNum w:abstractNumId="2" w15:restartNumberingAfterBreak="0">
    <w:nsid w:val="0C287F8C"/>
    <w:multiLevelType w:val="hybridMultilevel"/>
    <w:tmpl w:val="E00E1836"/>
    <w:lvl w:ilvl="0" w:tplc="1F24037A">
      <w:start w:val="1"/>
      <w:numFmt w:val="bullet"/>
      <w:lvlText w:val="•"/>
      <w:lvlJc w:val="right"/>
      <w:pPr>
        <w:ind w:right="720" w:hanging="360"/>
      </w:pPr>
    </w:lvl>
    <w:lvl w:ilvl="1" w:tplc="D9506C94">
      <w:numFmt w:val="decimal"/>
      <w:lvlText w:val=""/>
      <w:lvlJc w:val="left"/>
    </w:lvl>
    <w:lvl w:ilvl="2" w:tplc="D5EC4C9C">
      <w:numFmt w:val="decimal"/>
      <w:lvlText w:val=""/>
      <w:lvlJc w:val="left"/>
    </w:lvl>
    <w:lvl w:ilvl="3" w:tplc="7DB4BE7E">
      <w:numFmt w:val="decimal"/>
      <w:lvlText w:val=""/>
      <w:lvlJc w:val="left"/>
    </w:lvl>
    <w:lvl w:ilvl="4" w:tplc="A31E38A8">
      <w:numFmt w:val="decimal"/>
      <w:lvlText w:val=""/>
      <w:lvlJc w:val="left"/>
    </w:lvl>
    <w:lvl w:ilvl="5" w:tplc="F79A5E26">
      <w:numFmt w:val="decimal"/>
      <w:lvlText w:val=""/>
      <w:lvlJc w:val="left"/>
    </w:lvl>
    <w:lvl w:ilvl="6" w:tplc="534E698C">
      <w:numFmt w:val="decimal"/>
      <w:lvlText w:val=""/>
      <w:lvlJc w:val="left"/>
    </w:lvl>
    <w:lvl w:ilvl="7" w:tplc="7E306E9A">
      <w:numFmt w:val="decimal"/>
      <w:lvlText w:val=""/>
      <w:lvlJc w:val="left"/>
    </w:lvl>
    <w:lvl w:ilvl="8" w:tplc="7988BAF8">
      <w:numFmt w:val="decimal"/>
      <w:lvlText w:val=""/>
      <w:lvlJc w:val="left"/>
    </w:lvl>
  </w:abstractNum>
  <w:abstractNum w:abstractNumId="3" w15:restartNumberingAfterBreak="0">
    <w:nsid w:val="5A0E24E9"/>
    <w:multiLevelType w:val="hybridMultilevel"/>
    <w:tmpl w:val="5A26C98E"/>
    <w:lvl w:ilvl="0" w:tplc="F8E050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358614">
    <w:abstractNumId w:val="1"/>
    <w:lvlOverride w:ilvl="0">
      <w:startOverride w:val="1"/>
    </w:lvlOverride>
  </w:num>
  <w:num w:numId="2" w16cid:durableId="1675650991">
    <w:abstractNumId w:val="2"/>
    <w:lvlOverride w:ilvl="0">
      <w:startOverride w:val="1"/>
    </w:lvlOverride>
  </w:num>
  <w:num w:numId="3" w16cid:durableId="1121919050">
    <w:abstractNumId w:val="0"/>
  </w:num>
  <w:num w:numId="4" w16cid:durableId="176418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YjYzYmY4OTUtZWE0OS00NTVhLWJiMmMtODk0MWNlODU5ZjNmIg0KfQ=="/>
    <w:docVar w:name="GVData0" w:val="(end)"/>
  </w:docVars>
  <w:rsids>
    <w:rsidRoot w:val="000216F6"/>
    <w:rsid w:val="000216F6"/>
    <w:rsid w:val="00042778"/>
    <w:rsid w:val="00053FD1"/>
    <w:rsid w:val="000633E6"/>
    <w:rsid w:val="000C56A4"/>
    <w:rsid w:val="00102FC1"/>
    <w:rsid w:val="00126551"/>
    <w:rsid w:val="00362F9B"/>
    <w:rsid w:val="003B535A"/>
    <w:rsid w:val="00417327"/>
    <w:rsid w:val="0049402F"/>
    <w:rsid w:val="004C2FC5"/>
    <w:rsid w:val="004D226B"/>
    <w:rsid w:val="00550804"/>
    <w:rsid w:val="005E208C"/>
    <w:rsid w:val="0066552D"/>
    <w:rsid w:val="00772496"/>
    <w:rsid w:val="007A0127"/>
    <w:rsid w:val="008766E8"/>
    <w:rsid w:val="00A1729D"/>
    <w:rsid w:val="00AC08B2"/>
    <w:rsid w:val="00B405C4"/>
    <w:rsid w:val="00B44570"/>
    <w:rsid w:val="00B903B9"/>
    <w:rsid w:val="00CC0A09"/>
    <w:rsid w:val="00CD605A"/>
    <w:rsid w:val="00DA096B"/>
    <w:rsid w:val="00DD6B36"/>
    <w:rsid w:val="00E1049D"/>
    <w:rsid w:val="00F1605A"/>
    <w:rsid w:val="00FF64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FCEFB"/>
  <w15:chartTrackingRefBased/>
  <w15:docId w15:val="{A4A876A3-052A-4501-8131-978852B7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F6"/>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2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6F6"/>
    <w:rPr>
      <w:rFonts w:eastAsiaTheme="majorEastAsia" w:cstheme="majorBidi"/>
      <w:color w:val="272727" w:themeColor="text1" w:themeTint="D8"/>
    </w:rPr>
  </w:style>
  <w:style w:type="paragraph" w:styleId="Title">
    <w:name w:val="Title"/>
    <w:basedOn w:val="Normal"/>
    <w:next w:val="Normal"/>
    <w:link w:val="TitleChar"/>
    <w:uiPriority w:val="10"/>
    <w:qFormat/>
    <w:rsid w:val="00021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6F6"/>
    <w:pPr>
      <w:spacing w:before="160"/>
      <w:jc w:val="center"/>
    </w:pPr>
    <w:rPr>
      <w:i/>
      <w:iCs/>
      <w:color w:val="404040" w:themeColor="text1" w:themeTint="BF"/>
    </w:rPr>
  </w:style>
  <w:style w:type="character" w:customStyle="1" w:styleId="QuoteChar">
    <w:name w:val="Quote Char"/>
    <w:basedOn w:val="DefaultParagraphFont"/>
    <w:link w:val="Quote"/>
    <w:uiPriority w:val="29"/>
    <w:rsid w:val="000216F6"/>
    <w:rPr>
      <w:i/>
      <w:iCs/>
      <w:color w:val="404040" w:themeColor="text1" w:themeTint="BF"/>
    </w:rPr>
  </w:style>
  <w:style w:type="paragraph" w:styleId="ListParagraph">
    <w:name w:val="List Paragraph"/>
    <w:basedOn w:val="Normal"/>
    <w:qFormat/>
    <w:rsid w:val="000216F6"/>
    <w:pPr>
      <w:ind w:left="720"/>
      <w:contextualSpacing/>
    </w:pPr>
  </w:style>
  <w:style w:type="character" w:styleId="IntenseEmphasis">
    <w:name w:val="Intense Emphasis"/>
    <w:basedOn w:val="DefaultParagraphFont"/>
    <w:uiPriority w:val="21"/>
    <w:qFormat/>
    <w:rsid w:val="000216F6"/>
    <w:rPr>
      <w:i/>
      <w:iCs/>
      <w:color w:val="0F4761" w:themeColor="accent1" w:themeShade="BF"/>
    </w:rPr>
  </w:style>
  <w:style w:type="paragraph" w:styleId="IntenseQuote">
    <w:name w:val="Intense Quote"/>
    <w:basedOn w:val="Normal"/>
    <w:next w:val="Normal"/>
    <w:link w:val="IntenseQuoteChar"/>
    <w:uiPriority w:val="30"/>
    <w:qFormat/>
    <w:rsid w:val="0002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6F6"/>
    <w:rPr>
      <w:i/>
      <w:iCs/>
      <w:color w:val="0F4761" w:themeColor="accent1" w:themeShade="BF"/>
    </w:rPr>
  </w:style>
  <w:style w:type="character" w:styleId="IntenseReference">
    <w:name w:val="Intense Reference"/>
    <w:basedOn w:val="DefaultParagraphFont"/>
    <w:uiPriority w:val="32"/>
    <w:qFormat/>
    <w:rsid w:val="000216F6"/>
    <w:rPr>
      <w:b/>
      <w:bCs/>
      <w:smallCaps/>
      <w:color w:val="0F4761" w:themeColor="accent1" w:themeShade="BF"/>
      <w:spacing w:val="5"/>
    </w:rPr>
  </w:style>
  <w:style w:type="paragraph" w:styleId="Header">
    <w:name w:val="header"/>
    <w:basedOn w:val="Normal"/>
    <w:link w:val="HeaderChar"/>
    <w:uiPriority w:val="99"/>
    <w:unhideWhenUsed/>
    <w:rsid w:val="000216F6"/>
    <w:pPr>
      <w:tabs>
        <w:tab w:val="center" w:pos="4320"/>
        <w:tab w:val="right" w:pos="8640"/>
      </w:tabs>
    </w:pPr>
  </w:style>
  <w:style w:type="character" w:customStyle="1" w:styleId="HeaderChar">
    <w:name w:val="Header Char"/>
    <w:basedOn w:val="DefaultParagraphFont"/>
    <w:link w:val="Header"/>
    <w:uiPriority w:val="99"/>
    <w:rsid w:val="000216F6"/>
    <w:rPr>
      <w:rFonts w:ascii="Arial" w:eastAsia="Arial" w:hAnsi="Arial" w:cs="Arial"/>
      <w:kern w:val="0"/>
      <w:sz w:val="22"/>
      <w:szCs w:val="22"/>
      <w14:ligatures w14:val="none"/>
    </w:rPr>
  </w:style>
  <w:style w:type="paragraph" w:styleId="Footer">
    <w:name w:val="footer"/>
    <w:basedOn w:val="Normal"/>
    <w:link w:val="FooterChar"/>
    <w:uiPriority w:val="99"/>
    <w:unhideWhenUsed/>
    <w:rsid w:val="000216F6"/>
    <w:pPr>
      <w:tabs>
        <w:tab w:val="center" w:pos="4320"/>
        <w:tab w:val="right" w:pos="8640"/>
      </w:tabs>
    </w:pPr>
  </w:style>
  <w:style w:type="character" w:customStyle="1" w:styleId="FooterChar">
    <w:name w:val="Footer Char"/>
    <w:basedOn w:val="DefaultParagraphFont"/>
    <w:link w:val="Footer"/>
    <w:uiPriority w:val="99"/>
    <w:rsid w:val="000216F6"/>
    <w:rPr>
      <w:rFonts w:ascii="Arial" w:eastAsia="Arial" w:hAnsi="Arial" w:cs="Arial"/>
      <w:kern w:val="0"/>
      <w:sz w:val="22"/>
      <w:szCs w:val="22"/>
      <w14:ligatures w14:val="none"/>
    </w:rPr>
  </w:style>
  <w:style w:type="paragraph" w:styleId="NormalWeb">
    <w:name w:val="Normal (Web)"/>
    <w:basedOn w:val="Normal"/>
    <w:uiPriority w:val="99"/>
    <w:unhideWhenUsed/>
    <w:rsid w:val="00CC0A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Zain KSA Office 365</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Sami Alhuwaidi</dc:creator>
  <cp:keywords/>
  <dc:description/>
  <cp:lastModifiedBy>Khalid Salem Aljohani</cp:lastModifiedBy>
  <cp:revision>12</cp:revision>
  <dcterms:created xsi:type="dcterms:W3CDTF">2026-04-30T10:34:00Z</dcterms:created>
  <dcterms:modified xsi:type="dcterms:W3CDTF">2026-05-04T12:10:00Z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ew0KICAidGFnc2V0X2UxNjQwOWE3XzE3MDBfNDE1M185MDkwXzM5NTViYzJmMGFlOF9jbGFzc2lmaWNhdGlvbiI6ICJQdWJsaWMiLA0KICAiZG9jSUQiOiAiYjYzYmY4OTUtZWE0OS00NTVhLWJiMmMtODk0MWNlODU5ZjNmIiwNCiAgIk9TIjogIldpbmRvd3MiLA0K</vt:lpwstr>
  </property>
  <property fmtid="{D5CDD505-2E9C-101B-9397-08002B2CF9AE}" pid="3" name="GVData0">
    <vt:lpwstr>ICAiT3B0aW9ucyI6ICJ7XHUwMDIyUG9wdXBDb25maWd1cmF0aW9uXHUwMDIyOntcdTAwMjJBbHdheXNTaG93UG9wdXBcdTAwMjI6ZmFsc2UsXHUwMDIyRW5mb3JjZUhlYWRlckZvb3RlclR5cGVcdTAwMjI6ZmFsc2UsXHUwMDIySGVhZGVyUGxhY2VtZW50VHlwZVx1</vt:lpwstr>
  </property>
  <property fmtid="{D5CDD505-2E9C-101B-9397-08002B2CF9AE}" pid="4" name="CurrentState">
    <vt:lpwstr>{"FirstPageDifferent":false,"DifferentOddAndEvenPages":false,"PageCount":4,"HeaderMetadata":"&lt;span style=\"color:#70AD47;\"&gt;This document has been classified as &lt;strong&gt;Public&lt;/strong&gt;&lt;/span&gt;","ThirdPartyHeaderMetadata":"","GVHeaderExists":true,"NonGVHeaderExists":false,"FloatingHeaderExists":false,"NonGVHeaderShapeExists":false,"ThirdPartyHeaders":[],"FooterMetadata":"&lt;span style=\"color:#70AD47;\"&gt;This document has been classified by Ali.Alhuwaidi  2026-04-29T11:43:57Z&lt;/span&gt;","ThirdPartyFooterMetadata":"","GVFooterExists":true,"NonGVFooterExists":false,"FloatingFooterExists":false,"NonGVFooterShapeExists":false,"ThirdPartyFooters":[],"WatermarkMetadata":"","WatermarkExists":false,"PowerpointTitleMetadata":null,"PowerpointSubtitleMetadata":null,"ThirdPartyMetadataFound":false}</vt:lpwstr>
  </property>
  <property fmtid="{D5CDD505-2E9C-101B-9397-08002B2CF9AE}" pid="5" name="Header">
    <vt:lpwstr>&lt;span style="color:#70AD47;"&gt;This document has been classified as &lt;strong&gt;Public&lt;/strong&gt;&lt;/span&gt;</vt:lpwstr>
  </property>
  <property fmtid="{D5CDD505-2E9C-101B-9397-08002B2CF9AE}" pid="6" name="Footer">
    <vt:lpwstr>&lt;span style="color:#70AD47;"&gt;This document has been classified by Ali.Alhuwaidi  2026-04-29T11:44:08Z&lt;/span&gt;</vt:lpwstr>
  </property>
  <property fmtid="{D5CDD505-2E9C-101B-9397-08002B2CF9AE}" pid="7" name="GVData1">
    <vt:lpwstr>MDAyMjowLFx1MDAyMkZvb3RlclBsYWNlbWVudFR5cGVcdTAwMjI6MCxcdTAwMjJFbmZvcmNlTGF5b3V0T3B0aW9uXHUwMDIyOmZhbHNlLFx1MDAyMkxheW91dE9wdGlvblx1MDAyMjowLFx1MDAyMlRyaWdnZXJOdW1iZXJcdTAwMjI6MCxcdTAwMjJGcm9tSW5kZXhc</vt:lpwstr>
  </property>
  <property fmtid="{D5CDD505-2E9C-101B-9397-08002B2CF9AE}" pid="8" name="GVData2">
    <vt:lpwstr>dTAwMjI6MCxcdTAwMjJUb0luZGV4XHUwMDIyOjAsXHUwMDIyRW5mb3JjZU92ZXJ3cml0ZU9wdGlvblx1MDAyMjpmYWxzZSxcdTAwMjJPdmVyd3JpdGVPcHRpb25cdTAwMjI6MH0sXHUwMDIySGVhZGVyRW5hYmxlZFx1MDAyMjp0cnVlLFx1MDAyMkhlYWRlclx1MDAy</vt:lpwstr>
  </property>
  <property fmtid="{D5CDD505-2E9C-101B-9397-08002B2CF9AE}" pid="9" name="GVData3">
    <vt:lpwstr>MjpcdTAwMjJcdTAwM0NzcGFuIHN0eWxlPVxcXHUwMDIyY29sb3I6IzcwQUQ0NztcXFx1MDAyMlx1MDAzRVRoaXMgZG9jdW1lbnQgaGFzIGJlZW4gY2xhc3NpZmllZCBhcyBcdTAwM0NzdHJvbmdcdTAwM0VQdWJsaWNcdTAwM0Mvc3Ryb25nXHUwMDNFXHUwMDNDL3Nw</vt:lpwstr>
  </property>
  <property fmtid="{D5CDD505-2E9C-101B-9397-08002B2CF9AE}" pid="10" name="GVData4">
    <vt:lpwstr>YW5cdTAwM0VcdTAwMjIsXHUwMDIySGVhZGVyc1x1MDAyMjpbXHUwMDIyXHUwMDNDc3BhbiBzdHlsZT1cXFx1MDAyMmNvbG9yOiM3MEFENDc7XFxcdTAwMjJcdTAwM0VUaGlzIGRvY3VtZW50IGhhcyBiZWVuIGNsYXNzaWZpZWQgYXMgXHUwMDNDc3Ryb25nXHUwMDNF</vt:lpwstr>
  </property>
  <property fmtid="{D5CDD505-2E9C-101B-9397-08002B2CF9AE}" pid="11" name="GVData5">
    <vt:lpwstr>UHVibGljXHUwMDNDL3N0cm9uZ1x1MDAzRVx1MDAzQy9zcGFuXHUwMDNFXHUwMDIyXSxcdTAwMjJIZWFkZXJUeXBlXHUwMDIyOjAsXHUwMDIySGVhZGVyVHlwZXNBbGxvd2VkXHUwMDIyOlswLDFdLFx1MDAyMkhlYWRlclVwZGF0ZVR5cGVcdTAwMjI6MSxcdTAwMjJG</vt:lpwstr>
  </property>
  <property fmtid="{D5CDD505-2E9C-101B-9397-08002B2CF9AE}" pid="12" name="GVData6">
    <vt:lpwstr>b290ZXJFbmFibGVkXHUwMDIyOnRydWUsXHUwMDIyRm9vdGVyXHUwMDIyOlx1MDAyMlx1MDAzQ3NwYW4gc3R5bGU9XFxcdTAwMjJjb2xvcjojNzBBRDQ3O1xcXHUwMDIyXHUwMDNFVGhpcyBkb2N1bWVudCBoYXMgYmVlbiBjbGFzc2lmaWVkIGJ5IEFsaS5BbGh1d2Fp</vt:lpwstr>
  </property>
  <property fmtid="{D5CDD505-2E9C-101B-9397-08002B2CF9AE}" pid="13" name="GVData7">
    <vt:lpwstr>ZGkgIDIwMjYtMDQtMjlUMTE6NDQ6MDhaXHUwMDNDL3NwYW5cdTAwM0VcdTAwMjIsXHUwMDIyRm9vdGVyc1x1MDAyMjpbXHUwMDIyXHUwMDNDc3BhbiBzdHlsZT1cXFx1MDAyMmNvbG9yOiM3MEFENDc7XFxcdTAwMjJcdTAwM0VUaGlzIGRvY3VtZW50IGhhcyBiZWVu</vt:lpwstr>
  </property>
  <property fmtid="{D5CDD505-2E9C-101B-9397-08002B2CF9AE}" pid="14" name="GVData8">
    <vt:lpwstr>IGNsYXNzaWZpZWQgYnkgQWxpLkFsaHV3YWlkaSAgMjAyNi0wNC0yOVQxMTo0NDowOFpcdTAwM0Mvc3Bhblx1MDAzRVx1MDAyMl0sXHUwMDIyRm9vdGVyVHlwZVx1MDAyMjowLFx1MDAyMkZvb3RlclR5cGVzQWxsb3dlZFx1MDAyMjpbMCwxXSxcdTAwMjJGb290ZXJV</vt:lpwstr>
  </property>
  <property fmtid="{D5CDD505-2E9C-101B-9397-08002B2CF9AE}" pid="15" name="GVData9">
    <vt:lpwstr>cGRhdGVUeXBlXHUwMDIyOjEsXHUwMDIyV2F0ZXJtYXJrXHUwMDIyOlx1MDAyMlx1MDAyMixcdTAwMjJXYXRlcm1hcmtFbmFibGVkXHUwMDIyOmZhbHNlLFx1MDAyMlNob3VsZFdyaXRlV2F0ZXJtYXJrXHUwMDIyOmZhbHNlLFx1MDAyMldhdGVybWFya1VwZGF0ZVR5</vt:lpwstr>
  </property>
  <property fmtid="{D5CDD505-2E9C-101B-9397-08002B2CF9AE}" pid="16" name="GVData10">
    <vt:lpwstr>cGVcdTAwMjI6MSxcdTAwMjJQb3dlcnBvaW50VGl0bGVcdTAwMjI6bnVsbCxcdTAwMjJQb3dlcnBvaW50U3ViaXRsZVx1MDAyMjpudWxsfSIsDQogICJTdGF0ZSI6ICJ7XHUwMDIyRmlyc3RQYWdlRGlmZmVyZW50XHUwMDIyOmZhbHNlLFx1MDAyMkRpZmZlcmVudE9k</vt:lpwstr>
  </property>
  <property fmtid="{D5CDD505-2E9C-101B-9397-08002B2CF9AE}" pid="17" name="GVData11">
    <vt:lpwstr>ZEFuZEV2ZW5QYWdlc1x1MDAyMjpmYWxzZSxcdTAwMjJQYWdlQ291bnRcdTAwMjI6NCxcdTAwMjJIZWFkZXJNZXRhZGF0YVx1MDAyMjpcdTAwMjJcdTAwM0NzcGFuIHN0eWxlPVxcXHUwMDIyY29sb3I6IzcwQUQ0NztcXFx1MDAyMlx1MDAzRVRoaXMgZG9jdW1lbnQg</vt:lpwstr>
  </property>
  <property fmtid="{D5CDD505-2E9C-101B-9397-08002B2CF9AE}" pid="18" name="GVData12">
    <vt:lpwstr>aGFzIGJlZW4gY2xhc3NpZmllZCBhcyBcdTAwM0NzdHJvbmdcdTAwM0VQdWJsaWNcdTAwM0Mvc3Ryb25nXHUwMDNFXHUwMDNDL3NwYW5cdTAwM0VcdTAwMjIsXHUwMDIyVGhpcmRQYXJ0eUhlYWRlck1ldGFkYXRhXHUwMDIyOlx1MDAyMlx1MDAyMixcdTAwMjJHVkhl</vt:lpwstr>
  </property>
  <property fmtid="{D5CDD505-2E9C-101B-9397-08002B2CF9AE}" pid="19" name="GVData13">
    <vt:lpwstr>YWRlckV4aXN0c1x1MDAyMjp0cnVlLFx1MDAyMk5vbkdWSGVhZGVyRXhpc3RzXHUwMDIyOmZhbHNlLFx1MDAyMkZsb2F0aW5nSGVhZGVyRXhpc3RzXHUwMDIyOmZhbHNlLFx1MDAyMk5vbkdWSGVhZGVyU2hhcGVFeGlzdHNcdTAwMjI6ZmFsc2UsXHUwMDIyVGhpcmRQ</vt:lpwstr>
  </property>
  <property fmtid="{D5CDD505-2E9C-101B-9397-08002B2CF9AE}" pid="20" name="GVData14">
    <vt:lpwstr>YXJ0eUhlYWRlcnNcdTAwMjI6W10sXHUwMDIyRm9vdGVyTWV0YWRhdGFcdTAwMjI6XHUwMDIyXHUwMDNDc3BhbiBzdHlsZT1cXFx1MDAyMmNvbG9yOiM3MEFENDc7XFxcdTAwMjJcdTAwM0VUaGlzIGRvY3VtZW50IGhhcyBiZWVuIGNsYXNzaWZpZWQgYnkgQWxpLkFs</vt:lpwstr>
  </property>
  <property fmtid="{D5CDD505-2E9C-101B-9397-08002B2CF9AE}" pid="21" name="GVData15">
    <vt:lpwstr>aHV3YWlkaSAgMjAyNi0wNC0yOVQxMTo0Mzo1N1pcdTAwM0Mvc3Bhblx1MDAzRVx1MDAyMixcdTAwMjJUaGlyZFBhcnR5Rm9vdGVyTWV0YWRhdGFcdTAwMjI6XHUwMDIyXHUwMDIyLFx1MDAyMkdWRm9vdGVyRXhpc3RzXHUwMDIyOnRydWUsXHUwMDIyTm9uR1ZGb290</vt:lpwstr>
  </property>
  <property fmtid="{D5CDD505-2E9C-101B-9397-08002B2CF9AE}" pid="22" name="GVData16">
    <vt:lpwstr>ZXJFeGlzdHNcdTAwMjI6ZmFsc2UsXHUwMDIyRmxvYXRpbmdGb290ZXJFeGlzdHNcdTAwMjI6ZmFsc2UsXHUwMDIyTm9uR1ZGb290ZXJTaGFwZUV4aXN0c1x1MDAyMjpmYWxzZSxcdTAwMjJUaGlyZFBhcnR5Rm9vdGVyc1x1MDAyMjpbXSxcdTAwMjJXYXRlcm1hcmtN</vt:lpwstr>
  </property>
  <property fmtid="{D5CDD505-2E9C-101B-9397-08002B2CF9AE}" pid="23" name="GVData17">
    <vt:lpwstr>ZXRhZGF0YVx1MDAyMjpcdTAwMjJcdTAwMjIsXHUwMDIyV2F0ZXJtYXJrRXhpc3RzXHUwMDIyOmZhbHNlLFx1MDAyMlBvd2VycG9pbnRUaXRsZU1ldGFkYXRhXHUwMDIyOm51bGwsXHUwMDIyUG93ZXJwb2ludFN1YnRpdGxlTWV0YWRhdGFcdTAwMjI6bnVsbCxcdTAw</vt:lpwstr>
  </property>
  <property fmtid="{D5CDD505-2E9C-101B-9397-08002B2CF9AE}" pid="24" name="GVData18">
    <vt:lpwstr>MjJUaGlyZFBhcnR5TWV0YWRhdGFGb3VuZFx1MDAyMjpmYWxzZX0iDQp9</vt:lpwstr>
  </property>
  <property fmtid="{D5CDD505-2E9C-101B-9397-08002B2CF9AE}" pid="25" name="GVData19">
    <vt:lpwstr>(end)</vt:lpwstr>
  </property>
</Properties>
</file>